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6" w:lineRule="exact" w:before="0" w:after="0"/>
        <w:ind w:left="0" w:right="3520" w:firstLine="0"/>
        <w:jc w:val="right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G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e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o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sciences 3 (2022) 179–191</w:t>
          </w:r>
        </w:hyperlink>
      </w:r>
    </w:p>
    <w:p>
      <w:pPr>
        <w:autoSpaceDN w:val="0"/>
        <w:autoSpaceDE w:val="0"/>
        <w:widowControl/>
        <w:spacing w:line="260" w:lineRule="exact" w:before="282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ScienceDirect </w:t>
      </w:r>
    </w:p>
    <w:p>
      <w:pPr>
        <w:autoSpaceDN w:val="0"/>
        <w:autoSpaceDE w:val="0"/>
        <w:widowControl/>
        <w:spacing w:line="456" w:lineRule="exact" w:before="154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344" w:lineRule="exact" w:before="786" w:after="0"/>
        <w:ind w:left="2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Estimation of the effectiveness of multi-criteria decision analysis and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machine learning approaches for agricultural land capability in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Gangarampur Subdivision, Eastern India </w:t>
      </w:r>
    </w:p>
    <w:p>
      <w:pPr>
        <w:autoSpaceDN w:val="0"/>
        <w:autoSpaceDE w:val="0"/>
        <w:widowControl/>
        <w:spacing w:line="364" w:lineRule="exact" w:before="112" w:after="0"/>
        <w:ind w:left="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Sunil Saha, Prolay Mondal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* </w:t>
      </w:r>
    </w:p>
    <w:p>
      <w:pPr>
        <w:autoSpaceDN w:val="0"/>
        <w:autoSpaceDE w:val="0"/>
        <w:widowControl/>
        <w:spacing w:line="210" w:lineRule="exact" w:before="82" w:after="158"/>
        <w:ind w:left="2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Department of Geography, Raiganj University, Raiganj, West Bengal, 733134, India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38"/>
        </w:trPr>
        <w:tc>
          <w:tcPr>
            <w:tcW w:type="dxa" w:w="2664"/>
            <w:tcBorders>
              <w:top w:sz="2.400000000000091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400000000000091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212"/>
        </w:trPr>
        <w:tc>
          <w:tcPr>
            <w:tcW w:type="dxa" w:w="2664"/>
            <w:tcBorders>
              <w:top w:sz="2.399999999999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Analytic Hierarchy Process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Fuzzy Complex Proportional Assessment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Receiver Operating Characteristic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Gangarampur subdivision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Soil Capability </w:t>
            </w:r>
          </w:p>
        </w:tc>
        <w:tc>
          <w:tcPr>
            <w:tcW w:type="dxa" w:w="7784"/>
            <w:tcBorders>
              <w:top w:sz="2.399999999999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Land suitability analysis (LSA) is an evaluation method that measures the degree to which land is suitable for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certain land use. The primary aims of this study are to identify potentially viable agricultural land in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Gangarampur subdivision (West Bengal) using Multiple Criteria Decision Making (MCDM) and machine learning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procedures and to evaluate the efficacy of the employed methodologies. The Analytic Hierarchy Process (AHP)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model was used to assign relative weights to the fifteen various criteria in this suitability analysis, and then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Fuzzy Complex Proportional Assessment (FCOPRAS) model was applied using the AHP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 normalised pairwise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comparison matrix, whereas the Waikato Environment for Knowledge Analysis (Weka) Software was used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apply machine learning algorithms to the field data. The Random Forest (RF) model, on the other hand, is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better fit for the locational study of soil potential. According to the RF findings, areas of 14.67 per cent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(15368.46 ha) are excellent (ZONE V) for growing crops, approximately 22.30 per cent (23367.9 ha) are highly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suitable (ZONE IV), and 23.63 per cent (24762.12 ha) are moderately suitable (ZONE III) for cultivation,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respectively. The numbers for FCOPRAS are roughly 15.39% (16130.52 ha), 22.54% (23620.65 ha), and 19.79%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(20733.26 ha). The Receiver Operating Characteristic (ROC) curve and accuracy measurements of the results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indicate the high accuracy of the applied models, with Random Forest and FCOPRAS being the most popular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effective techniques. This study will make an important contribution to evaluations of soil fertility and site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suitability. This will help local government officials, academics, and farmers scientifically use the land.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96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08" w:lineRule="exact" w:before="218" w:after="0"/>
        <w:ind w:left="2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Agriculture is the world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most primitive economic activity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Prakash,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occupying one-third of the world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entire land surface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Grigg,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Following industrialization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Davis and Langham, 1995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population increased positively and food demand increased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rapidly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Lambin and Meyfroidt, 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Scherer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Alexandratos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and Bruinsma,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resulting in the intensification and extensification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Yalew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Tscharntke et al.,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of the primary sector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sustain the supply and demand chain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Naik and Suresh,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To sus-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 an increasing human population, the only approach is to boost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agricultural output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Ibrahim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without endangering future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requirements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Feizizadeh et al., 2014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Turgut et al.,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Dakshin Dinajpur district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economy is primarily based on the pri-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mary economic sector, more precisely on agriculture. According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census (2011) data, a total of 170,682 cultivators engage in agriculture </w:t>
      </w:r>
    </w:p>
    <w:p>
      <w:pPr>
        <w:sectPr>
          <w:type w:val="continuous"/>
          <w:pgSz w:w="11906" w:h="15874"/>
          <w:pgMar w:top="334" w:right="686" w:bottom="496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cultivation, with 156,797 males and 13,885 women; and 174,690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dividuals working as labourers on agricultural land, with 129,402 men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45,288 women. Paddy, wheat, barley, and maize are the 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 farmed food grains. Agriculture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development is critical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socio-economic development of the study area. Agriculture develop-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 has a huge impact on people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socioeconomic conditions, and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critical to building optimal agriculture practices to enable people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self-sustain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Pramanik,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Population pressure on agricultural land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strong demand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Cowie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for foods necessitate speedy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production or high-yield agriculture. Due to the excessive use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fertilizers and pesticides, insufficient irrigation infrastructure,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insufficient transportation systems, depleted soil fertility, soil erosion,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other factors, agricultural production has fallen quickly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De la Rosa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and Sobral, 2008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0" w:after="402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Land suitability analysis (LSA) is a method of figuring out how well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land can be used for a certain purpose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Mistri and Sengupta.,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</w:t>
      </w:r>
    </w:p>
    <w:p>
      <w:pPr>
        <w:sectPr>
          <w:type w:val="nextColumn"/>
          <w:pgSz w:w="11906" w:h="15874"/>
          <w:pgMar w:top="334" w:right="686" w:bottom="496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02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40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sahasunil2507@gmail.com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(S. Saha),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2" w:history="1">
          <w:r>
            <w:rPr>
              <w:rStyle w:val="Hyperlink"/>
            </w:rPr>
            <w:t>mon.prolay@gmail.com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(P. Mondal). </w:t>
      </w:r>
    </w:p>
    <w:p>
      <w:pPr>
        <w:autoSpaceDN w:val="0"/>
        <w:autoSpaceDE w:val="0"/>
        <w:widowControl/>
        <w:spacing w:line="184" w:lineRule="exact" w:before="15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https://doi.org/10.1016/j.aiig.2022.12.003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12 September 2022; Received in r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evised form 21 December 2022; Accepted 22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29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41/© 2022 The Authors. Publishing services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by Elsevier B.V. on behalf of KeAi Communications Co. Ltd. This is an open access article under the CC BY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3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land/soil suitability evaluation is required to decide which crop is 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suited to a place with limited resources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Jamil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Land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 and significant element on the earth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surface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Rossiter, 1996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every living entity interacts with it directly or indirectly. Potential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Suitability Assessment of Land (PSAL) determines the land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suitability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a specified use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Bandyopadhyay et al., 2009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Hayashi, 2000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basic purpose of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PSAL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to ascertain people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satisfaction with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 land use form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Hopkins, 1977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and it can assist policymakers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developing strategies to increase agricultural productivity by identi-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fying potentially suitable land for cultivation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FAO, 1976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Malczewski,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2004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MCDM approaches are commonly used to estimate the potential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inherent properties of soil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Mendas and Delali,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 the optimal Zones for cultivation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Steiner et al., 2000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Mosadeghi et al. (2015)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say that MCDM uses a lot of variables to predict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land will be used in the future. </w:t>
      </w:r>
    </w:p>
    <w:p>
      <w:pPr>
        <w:autoSpaceDN w:val="0"/>
        <w:autoSpaceDE w:val="0"/>
        <w:widowControl/>
        <w:spacing w:line="208" w:lineRule="exact" w:before="54" w:after="0"/>
        <w:ind w:left="0" w:right="1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integration of remote sensing, GIS, and MCDM methodologies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 always be promising for identifying new suitable places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Halder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Mokarram and Aminzadeh (2010)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 that Geographic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System (GIS) is a more adaptable system for acquiring,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investigating, and evaluating data and outcomes. Researchers can fix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 mistakes more quickly and get more accurate results by working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Saaty, 1980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Duc, 2006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has been a significant amount of research on site suitability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utilising MCDM and ML techniques, including Site Suitability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 for Rice Cultivation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Nyeko,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Kihoro et al.,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Site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suitability for agriculture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Zaredar and Jafari, 2010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for land manage-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 purposes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Rojas and Loubier,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for land-use suitability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Joerin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Romeijn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for Land suitability analysis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crops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Jamil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for avulsion potential Zone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Pal and Sarkar,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for the recognition of touristic poten-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tial Zones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Ebrahimi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site suitability for conservation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water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Srdjevic and Medeiros, 2007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water management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Badhe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Predicting the Soil Suitability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Jayaraman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 of Cardiac Disease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Princy et al.,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); Mapping the risk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terrain for crime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Wheeler and Steenbeek,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executing surface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pressurized irrigation system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Azad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etc.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study, the FCOPRAS (Fuzzy Complex Proportional Assess-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ment), AHP, and machine learning approaches, namely Random Forest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Multilayer Perceptron have been used to discover the potentiality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soil for agriculture, and ROC and Accuracy techniques have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 applied to estimate the proficiency of the applied models and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gorithms. Before arriving at the outcome, the weight of the alternatives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each variable was calculated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Malczewski and Boroushaki, 2008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Murayam and Bunruamkaew, 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using AHP. The opinions of 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experts were considered in the whole process of the FCOPRAS.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aggregate the performing variables, the WLCM (Weighted Linear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bination Method) was used.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land suitability assessment approach is a method for analysing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potential to determine the best location for growing various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crops. In planning and managing land resources, one of the most 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vantageous uses of the Geographic Information System (GIS) is the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site suitability and preparation of land use maps. GIS and Multi-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Criteria Decision Analysis (MCDA) can be used well enough for plan-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ning and managing how agricultural land is used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Adeniyi, 1993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Shearer and Xiang, 2009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GIS makes it easy to store, process,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analyse complex raw data at plenty of different levels. Combining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MCDM and Machine Learning (ML) with Geographic Information Sys-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tems (GIS) is an excellent technique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</w:t>
      </w:r>
      <w:r>
        <w:rPr>
          <w:rFonts w:ascii="TeX_CM_Roman" w:hAnsi="TeX_CM_Roman" w:eastAsia="TeX_CM_Roman"/>
          <w:b w:val="0"/>
          <w:i w:val="0"/>
          <w:color w:val="2196D1"/>
          <w:sz w:val="16"/>
        </w:rPr>
        <w:t>´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anchez-Lozano et al.,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 good judgments in complex and dynamic agricultural systems.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Agriculture is the economic backbone of West Bengal, employing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 60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70 per cent of the workforce and generating nearly 19.9 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 of the state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GDP in 2020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21. In terms of food grain production,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state has achieved self-sufficiency. Only 48% of the Dakshin Dinaj-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 district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(West Bengal, India) geographic area is inside the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area. Because this district lacks an industrial sector, its economy is pri-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marily agrarian. The overall quantity of land in the Gangrampur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35572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55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352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Geographical location of the study area.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18"/>
        <w:ind w:left="0" w:right="172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Performing Variables, Sources, and their resolution.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432"/>
        </w:trPr>
        <w:tc>
          <w:tcPr>
            <w:tcW w:type="dxa" w:w="11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Name of the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Variable </w:t>
            </w:r>
          </w:p>
        </w:tc>
        <w:tc>
          <w:tcPr>
            <w:tcW w:type="dxa" w:w="15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Source </w:t>
            </w:r>
          </w:p>
        </w:tc>
        <w:tc>
          <w:tcPr>
            <w:tcW w:type="dxa" w:w="1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Website </w:t>
            </w:r>
          </w:p>
        </w:tc>
        <w:tc>
          <w:tcPr>
            <w:tcW w:type="dxa" w:w="9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3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Resolution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(m) </w:t>
            </w:r>
          </w:p>
        </w:tc>
      </w:tr>
      <w:tr>
        <w:trPr>
          <w:trHeight w:hRule="exact" w:val="430"/>
        </w:trPr>
        <w:tc>
          <w:tcPr>
            <w:tcW w:type="dxa" w:w="11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  <w:tab w:pos="240" w:val="left"/>
                <w:tab w:pos="450" w:val="left"/>
              </w:tabs>
              <w:autoSpaceDE w:val="0"/>
              <w:widowControl/>
              <w:spacing w:line="172" w:lineRule="exact" w:before="6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Nitrogen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Phosphate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>3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−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>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Potassium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K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Zinc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Zn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Sulphur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S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Copper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Cu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Boron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B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Manganese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Mn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Soil Depth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Sd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Electrical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Conductivity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EC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Cation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Exchange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Capacity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CEC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 of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Hydrogen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(pH)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Bulk Density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BD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Moisture Index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MI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</w:p>
        </w:tc>
        <w:tc>
          <w:tcPr>
            <w:tcW w:type="dxa" w:w="156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Primary Data were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collected from 40 spots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the Study Area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(Laboratory Test) </w:t>
            </w:r>
          </w:p>
        </w:tc>
        <w:tc>
          <w:tcPr>
            <w:tcW w:type="dxa" w:w="13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Field Survey </w:t>
            </w:r>
          </w:p>
        </w:tc>
        <w:tc>
          <w:tcPr>
            <w:tcW w:type="dxa" w:w="9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24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</w:p>
        </w:tc>
      </w:tr>
      <w:tr>
        <w:trPr>
          <w:trHeight w:hRule="exact" w:val="1282"/>
        </w:trPr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30" w:after="0"/>
              <w:ind w:left="132" w:right="32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</w:p>
        </w:tc>
      </w:tr>
      <w:tr>
        <w:trPr>
          <w:trHeight w:hRule="exact" w:val="1680"/>
        </w:trPr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1560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72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Secondary Data For MI,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NDWI was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calculated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7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hyperlink r:id="rId20" w:history="1">
                <w:r>
                  <w:rPr>
                    <w:rStyle w:val="Hyperlink"/>
                  </w:rPr>
                  <w:t>https://soilgrids.org</w:t>
                </w:r>
              </w:hyperlink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hyperlink r:id="rId20" w:history="1">
                <w:r>
                  <w:rPr>
                    <w:rStyle w:val="Hyperlink"/>
                  </w:rPr>
                  <w:t>/</w:t>
                </w:r>
              </w:hyperlink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 </w:t>
            </w:r>
          </w:p>
        </w:tc>
        <w:tc>
          <w:tcPr>
            <w:tcW w:type="dxa" w:w="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80" w:after="0"/>
              <w:ind w:left="132" w:right="22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(resample </w:t>
            </w:r>
          </w:p>
        </w:tc>
      </w:tr>
      <w:tr>
        <w:trPr>
          <w:trHeight w:hRule="exact" w:val="820"/>
        </w:trPr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2617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9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Landsat 8 OLI </w:t>
            </w:r>
          </w:p>
        </w:tc>
        <w:tc>
          <w:tcPr>
            <w:tcW w:type="dxa" w:w="9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94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</w:p>
        </w:tc>
      </w:tr>
      <w:tr>
        <w:trPr>
          <w:trHeight w:hRule="exact" w:val="289"/>
        </w:trPr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2617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NDWI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 =</w:t>
            </w:r>
          </w:p>
        </w:tc>
        <w:tc>
          <w:tcPr>
            <w:tcW w:type="dxa" w:w="2617"/>
            <w:vMerge/>
            <w:tcBorders/>
          </w:tcPr>
          <w:p/>
        </w:tc>
      </w:tr>
      <w:tr>
        <w:trPr>
          <w:trHeight w:hRule="exact" w:val="761"/>
        </w:trPr>
        <w:tc>
          <w:tcPr>
            <w:tcW w:type="dxa" w:w="112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80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Soil Texture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STEX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</w:p>
        </w:tc>
        <w:tc>
          <w:tcPr>
            <w:tcW w:type="dxa" w:w="2617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13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00" w:after="0"/>
              <w:ind w:left="108" w:right="288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  <w:u w:val="single"/>
              </w:rPr>
              <w:t>Band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3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  <w:u w:val="single"/>
              </w:rPr>
              <w:t xml:space="preserve"> −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  <w:u w:val="single"/>
              </w:rPr>
              <w:t xml:space="preserve"> Band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5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  <w:u w:val="single"/>
              </w:rPr>
              <w:t xml:space="preserve">)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  <w:u w:val="single"/>
              </w:rPr>
              <w:t>Band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3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  <w:u w:val="single"/>
              </w:rPr>
              <w:t xml:space="preserve"> Band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5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5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44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 </w:t>
            </w:r>
          </w:p>
        </w:tc>
      </w:tr>
    </w:tbl>
    <w:p>
      <w:pPr>
        <w:autoSpaceDN w:val="0"/>
        <w:autoSpaceDE w:val="0"/>
        <w:widowControl/>
        <w:spacing w:line="262" w:lineRule="exact" w:before="25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3.1.1. The rationale for selecting the variables </w:t>
      </w:r>
    </w:p>
    <w:p>
      <w:pPr>
        <w:autoSpaceDN w:val="0"/>
        <w:autoSpaceDE w:val="0"/>
        <w:widowControl/>
        <w:spacing w:line="210" w:lineRule="exact" w:before="226" w:after="0"/>
        <w:ind w:left="0" w:right="0" w:firstLine="0"/>
        <w:jc w:val="center"/>
      </w:pPr>
      <w:r>
        <w:rPr>
          <w:rFonts w:ascii="CharisSIL" w:hAnsi="CharisSIL" w:eastAsia="CharisSIL"/>
          <w:b w:val="0"/>
          <w:i/>
          <w:color w:val="000000"/>
          <w:sz w:val="16"/>
        </w:rPr>
        <w:t>3.1.1.1. Nitrogen (N) and copper (Cu).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Nitrogen is crucial for plant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growth (structure), plant food processing (metabolism), and chlorophyll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181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EC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Dedeo</w:t>
      </w:r>
      <w:r>
        <w:rPr>
          <w:rFonts w:ascii="TeX_CM_Roman" w:hAnsi="TeX_CM_Roman" w:eastAsia="TeX_CM_Roman"/>
          <w:b w:val="0"/>
          <w:i w:val="0"/>
          <w:color w:val="2196D1"/>
          <w:sz w:val="16"/>
        </w:rPr>
        <w:t>˘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glu and Dengiz,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and crop yields, crop suitability,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plant nutrient availability, and the activity of soil microbes, etc are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controlled by EC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Do Carmo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CEC is the total amount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exchangeable cations that a soil, soil component, or other material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hold at a certain pH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van Erp et al., 2001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Cation exchange capacity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(CEC) is a helpful indication of soil fertility because it indicates the 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pacity of the soil to deliver three essential plant nutrients: calcium,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magnesium, and potassium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 and Ketterings, 1995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Similar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area, a high concentration of salts (Higher value of EC) in the soil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impacts the Kharif crop (Sown in Rainy Season) production negatively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essential variable for Rabi crops (Sown in Winter) cultivation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Francois et al., 1986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26" w:lineRule="exact" w:before="21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3.1.1.6. Soil organic carbon (SOC) and soil pH.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Soil organic carbon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(SOC) accumulation is influenced in agricultural areas where the bare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soil occurs frequently for several months, especially during hot summers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inconsistent rainfall seasons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Schillaci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this varia-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in SOC controls the Copper content in the soil. Otherwise, they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fail just as badly as if they were missing key components. Soil pH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thereby referred to as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master soil variable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it controls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myriad of soil biological, chemical, and physical qualities as well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 that affect plant growth and biomass yield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Neina,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 of the soil is a proxy for the activity or concentration of hydrogen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ions ([H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]) in the soil solution. As H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activity increases, the pH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soil lowers. As soil pH drops, the most desirable crop nutrients become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less available, while others, which are frequently undesirable, become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available and can reach toxic levels. </w:t>
      </w:r>
    </w:p>
    <w:p>
      <w:pPr>
        <w:autoSpaceDN w:val="0"/>
        <w:autoSpaceDE w:val="0"/>
        <w:widowControl/>
        <w:spacing w:line="210" w:lineRule="exact" w:before="22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3.1.1.7. Bulk density and soil moisture.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availability of water, root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growth, and the flow of air and water through the soil are all impacted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high bulk density. Soil bulk density is a basic though essential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 soil parameter related to soil porosity, soil moisture, and hy-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draulic conductivity, which is essential for soil quality evaluation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land use management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Li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Crop health is dependent on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sufficient supply of rainfall and soil nutrients, among other things.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 functions and growth are interrupted as moisture avail-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 decreases, resulting in lower crop yields. The NDWI was calcu-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 to determine the soil moisture of the study area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Pramanik,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it is a good indicator of soil moisture. To calculate NDWI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Landsat-8 imageries were collected from the USGS data portal with 30 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hyperlink r:id="rId21" w:history="1">
          <w:r>
            <w:rPr>
              <w:rStyle w:val="Hyperlink"/>
            </w:rPr>
            <w:t>https://earthexplorer.usgs.gov/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226" w:after="0"/>
        <w:ind w:left="0" w:right="16" w:firstLine="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3.1.1.8. Soil depth and soil texture.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depth of the soil influences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of plants that can survive there. Deeper soils often supply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water and nutrients to plants than shallower soils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Abd-Elmabod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texture of the soil is the size distribution of grains composed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minerals. The soil texture is determined by three types of grains e.g.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sand (2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0.05 mm), silt (0.05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0.002 mm), and clay (below 0.002 mm).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Soil texture is an important factor in choosing which crops to cultivate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it affects how porous the soil is, how well it holds water,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 dense it is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Chakraborty and Mistri, 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this research, the soil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texture data has been collected from the ‘Soil series of West Bengal (Vol.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89), National Bureau of Soil Survey and Land Use Planning, Indian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Council of Agricultural Research which is the work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Nayak, D.C.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(2001)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Methods </w:t>
      </w:r>
    </w:p>
    <w:p>
      <w:pPr>
        <w:autoSpaceDN w:val="0"/>
        <w:autoSpaceDE w:val="0"/>
        <w:widowControl/>
        <w:spacing w:line="208" w:lineRule="exact" w:before="21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current study, MCDM methodologies such as AHP (Analytical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Hierarchy Process), Fuzzy Complex Proportional Assessment (FCOP-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RAS) methods, as well as machine learning approaches such as 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Forest (RF) and Multilayer Perceptron (MLP) in the present study.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Weighted Linear Combination (WLCM) and MCDM (AHP, FCOPRAS)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together, the best result is always reached.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2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V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rating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⎡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⎢⎢⎣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</w:p>
    <w:p>
      <w:pPr>
        <w:autoSpaceDN w:val="0"/>
        <w:autoSpaceDE w:val="0"/>
        <w:widowControl/>
        <w:spacing w:line="220" w:lineRule="exact" w:before="0" w:after="0"/>
        <w:ind w:left="668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</w:p>
    <w:p>
      <w:pPr>
        <w:autoSpaceDN w:val="0"/>
        <w:tabs>
          <w:tab w:pos="784" w:val="left"/>
          <w:tab w:pos="1310" w:val="left"/>
        </w:tabs>
        <w:autoSpaceDE w:val="0"/>
        <w:widowControl/>
        <w:spacing w:line="264" w:lineRule="exact" w:before="0" w:after="0"/>
        <w:ind w:left="668" w:right="360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3 </w:t>
      </w: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 </w:t>
      </w: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 </w:t>
      </w: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 </w:t>
      </w:r>
      <w:r>
        <w:br/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m</w:t>
      </w:r>
      <w:r>
        <w:br/>
      </w:r>
    </w:p>
    <w:p>
      <w:pPr>
        <w:autoSpaceDN w:val="0"/>
        <w:autoSpaceDE w:val="0"/>
        <w:widowControl/>
        <w:spacing w:line="210" w:lineRule="exact" w:before="0" w:after="0"/>
        <w:ind w:left="0" w:right="3658" w:firstLine="0"/>
        <w:jc w:val="right"/>
      </w:pPr>
      <w:r>
        <w:rPr>
          <w:rFonts w:ascii="STIX" w:hAnsi="STIX" w:eastAsia="STIX"/>
          <w:b w:val="0"/>
          <w:i/>
          <w:color w:val="000000"/>
          <w:sz w:val="16"/>
        </w:rPr>
        <w:t>m</w:t>
      </w:r>
    </w:p>
    <w:p>
      <w:pPr>
        <w:autoSpaceDN w:val="0"/>
        <w:tabs>
          <w:tab w:pos="1584" w:val="left"/>
        </w:tabs>
        <w:autoSpaceDE w:val="0"/>
        <w:widowControl/>
        <w:spacing w:line="344" w:lineRule="exact" w:before="0" w:after="0"/>
        <w:ind w:left="1310" w:right="3312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 xml:space="preserve">m </w:t>
      </w:r>
      <w:r>
        <w:br/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u</w:t>
      </w:r>
    </w:p>
    <w:p>
      <w:pPr>
        <w:autoSpaceDN w:val="0"/>
        <w:autoSpaceDE w:val="0"/>
        <w:widowControl/>
        <w:spacing w:line="210" w:lineRule="exact" w:before="0" w:after="0"/>
        <w:ind w:left="0" w:right="3420" w:firstLine="0"/>
        <w:jc w:val="right"/>
      </w:pPr>
      <w:r>
        <w:rPr>
          <w:rFonts w:ascii="STIX" w:hAnsi="STIX" w:eastAsia="STIX"/>
          <w:b w:val="0"/>
          <w:i/>
          <w:color w:val="000000"/>
          <w:sz w:val="16"/>
        </w:rPr>
        <w:t>u</w:t>
      </w:r>
    </w:p>
    <w:p>
      <w:pPr>
        <w:autoSpaceDN w:val="0"/>
        <w:tabs>
          <w:tab w:pos="1718" w:val="left"/>
          <w:tab w:pos="4812" w:val="left"/>
        </w:tabs>
        <w:autoSpaceDE w:val="0"/>
        <w:widowControl/>
        <w:spacing w:line="532" w:lineRule="exact" w:before="0" w:after="0"/>
        <w:ind w:left="1584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u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⎤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⎥⎥⎦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(7) </w:t>
      </w:r>
    </w:p>
    <w:p>
      <w:pPr>
        <w:autoSpaceDN w:val="0"/>
        <w:autoSpaceDE w:val="0"/>
        <w:widowControl/>
        <w:spacing w:line="212" w:lineRule="exact" w:before="54" w:after="0"/>
        <w:ind w:left="0" w:right="1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Where, </w:t>
      </w:r>
      <w:r>
        <w:rPr>
          <w:rFonts w:ascii="CharisSIL" w:hAnsi="CharisSIL" w:eastAsia="CharisSIL"/>
          <w:b w:val="0"/>
          <w:i/>
          <w:color w:val="000000"/>
          <w:sz w:val="16"/>
        </w:rPr>
        <w:t>V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rating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rating assigned by several decision-makers of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particular variable;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/>
          <w:color w:val="000000"/>
          <w:sz w:val="16"/>
        </w:rPr>
        <w:t>l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′′</w:t>
      </w:r>
      <w:r>
        <w:rPr>
          <w:rFonts w:ascii="CharisSIL" w:hAnsi="CharisSIL" w:eastAsia="CharisSIL"/>
          <w:b w:val="0"/>
          <w:i/>
          <w:color w:val="000000"/>
          <w:sz w:val="16"/>
        </w:rPr>
        <w:t>m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′′</w:t>
      </w:r>
      <w:r>
        <w:rPr>
          <w:rFonts w:ascii="CharisSIL" w:hAnsi="CharisSIL" w:eastAsia="CharisSIL"/>
          <w:b w:val="0"/>
          <w:i/>
          <w:color w:val="000000"/>
          <w:sz w:val="16"/>
        </w:rPr>
        <w:t>u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lower, middle, and upper weight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variable; ‘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m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 decision-maker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0" w:after="0"/>
        <w:ind w:left="0" w:right="1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formulation of the tabulation of the weights of the variables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assigned by the decision-makers, the Fuzzy-aggregation technique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 employed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Turanoglu Bekar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tabs>
          <w:tab w:pos="346" w:val="left"/>
          <w:tab w:pos="984" w:val="left"/>
          <w:tab w:pos="1102" w:val="left"/>
          <w:tab w:pos="1172" w:val="left"/>
          <w:tab w:pos="1998" w:val="left"/>
          <w:tab w:pos="2092" w:val="left"/>
          <w:tab w:pos="2160" w:val="left"/>
          <w:tab w:pos="2882" w:val="left"/>
          <w:tab w:pos="4812" w:val="left"/>
        </w:tabs>
        <w:autoSpaceDE w:val="0"/>
        <w:widowControl/>
        <w:spacing w:line="34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 xml:space="preserve">;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m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 xml:space="preserve">;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u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u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u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(8) </w:t>
      </w:r>
    </w:p>
    <w:p>
      <w:pPr>
        <w:autoSpaceDN w:val="0"/>
        <w:autoSpaceDE w:val="0"/>
        <w:widowControl/>
        <w:spacing w:line="206" w:lineRule="exact" w:before="7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Where, </w:t>
      </w:r>
      <w:r>
        <w:rPr>
          <w:rFonts w:ascii="CharisSIL" w:hAnsi="CharisSIL" w:eastAsia="CharisSIL"/>
          <w:b w:val="0"/>
          <w:i/>
          <w:color w:val="000000"/>
          <w:sz w:val="16"/>
        </w:rPr>
        <w:t>F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Fuzzy Aggregation of the fuzzy weights;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decision-makers.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the fuzzy aggregation, the AHP normalised matrix values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used to form a fuzzy weighted normalised decision matrix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(9)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w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</w:p>
    <w:p>
      <w:pPr>
        <w:autoSpaceDN w:val="0"/>
        <w:tabs>
          <w:tab w:pos="332" w:val="left"/>
          <w:tab w:pos="398" w:val="left"/>
          <w:tab w:pos="1466" w:val="left"/>
          <w:tab w:pos="4812" w:val="left"/>
        </w:tabs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normalise the primary pair-wise matrix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(4)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applied to it.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[ </w:t>
      </w:r>
      <w:r>
        <w:rPr>
          <w:rFonts w:ascii="STIX" w:hAnsi="STIX" w:eastAsia="STIX"/>
          <w:b w:val="0"/>
          <w:i/>
          <w:color w:val="000000"/>
          <w:sz w:val="16"/>
        </w:rPr>
        <w:t>AHP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matrix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⊗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A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l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u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]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(9) </w:t>
      </w:r>
    </w:p>
    <w:p>
      <w:pPr>
        <w:autoSpaceDN w:val="0"/>
        <w:autoSpaceDE w:val="0"/>
        <w:widowControl/>
        <w:spacing w:line="208" w:lineRule="exact" w:before="5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Eqs.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(10) and (11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the values of the benefit and cost variables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estimated. </w:t>
      </w:r>
    </w:p>
    <w:p>
      <w:pPr>
        <w:autoSpaceDN w:val="0"/>
        <w:autoSpaceDE w:val="0"/>
        <w:widowControl/>
        <w:spacing w:line="138" w:lineRule="exact" w:before="108" w:after="0"/>
        <w:ind w:left="526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</w:p>
    <w:p>
      <w:pPr>
        <w:autoSpaceDN w:val="0"/>
        <w:tabs>
          <w:tab w:pos="436" w:val="left"/>
          <w:tab w:pos="692" w:val="left"/>
          <w:tab w:pos="472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ij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(10) </w:t>
      </w:r>
    </w:p>
    <w:p>
      <w:pPr>
        <w:autoSpaceDN w:val="0"/>
        <w:autoSpaceDE w:val="0"/>
        <w:widowControl/>
        <w:spacing w:line="138" w:lineRule="exact" w:before="74" w:after="0"/>
        <w:ind w:left="550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</w:p>
    <w:p>
      <w:pPr>
        <w:autoSpaceDN w:val="0"/>
        <w:tabs>
          <w:tab w:pos="446" w:val="left"/>
          <w:tab w:pos="474" w:val="left"/>
          <w:tab w:pos="760" w:val="left"/>
          <w:tab w:pos="4722" w:val="left"/>
        </w:tabs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=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ij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(11) </w:t>
      </w:r>
    </w:p>
    <w:p>
      <w:pPr>
        <w:autoSpaceDN w:val="0"/>
        <w:autoSpaceDE w:val="0"/>
        <w:widowControl/>
        <w:spacing w:line="202" w:lineRule="exact" w:before="11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‘</w:t>
      </w:r>
      <w:r>
        <w:rPr>
          <w:rFonts w:ascii="CharisSIL" w:hAnsi="CharisSIL" w:eastAsia="CharisSIL"/>
          <w:b w:val="0"/>
          <w:i/>
          <w:color w:val="000000"/>
          <w:sz w:val="16"/>
        </w:rPr>
        <w:t>FB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 Fuzzy benefit variable and ‘</w:t>
      </w:r>
      <w:r>
        <w:rPr>
          <w:rFonts w:ascii="CharisSIL" w:hAnsi="CharisSIL" w:eastAsia="CharisSIL"/>
          <w:b w:val="0"/>
          <w:i/>
          <w:color w:val="000000"/>
          <w:sz w:val="16"/>
        </w:rPr>
        <w:t>FC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Fuzzy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variable. </w:t>
      </w:r>
    </w:p>
    <w:p>
      <w:pPr>
        <w:autoSpaceDN w:val="0"/>
        <w:autoSpaceDE w:val="0"/>
        <w:widowControl/>
        <w:spacing w:line="210" w:lineRule="exact" w:before="50" w:after="42"/>
        <w:ind w:left="0" w:right="1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the classification of variables into benefit and cost variables,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relative significance (</w:t>
      </w:r>
      <w:r>
        <w:rPr>
          <w:rFonts w:ascii="CharisSIL" w:hAnsi="CharisSIL" w:eastAsia="CharisSIL"/>
          <w:b w:val="0"/>
          <w:i/>
          <w:color w:val="000000"/>
          <w:sz w:val="16"/>
        </w:rPr>
        <w:t>R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of each alternative has been estimated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1722"/>
        </w:trPr>
        <w:tc>
          <w:tcPr>
            <w:tcW w:type="dxa" w:w="50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40" w:val="left"/>
                <w:tab w:pos="762" w:val="left"/>
                <w:tab w:pos="1364" w:val="left"/>
                <w:tab w:pos="1460" w:val="left"/>
                <w:tab w:pos="1580" w:val="left"/>
                <w:tab w:pos="1604" w:val="left"/>
                <w:tab w:pos="1740" w:val="left"/>
                <w:tab w:pos="1864" w:val="left"/>
                <w:tab w:pos="4722" w:val="left"/>
              </w:tabs>
              <w:autoSpaceDE w:val="0"/>
              <w:widowControl/>
              <w:spacing w:line="530" w:lineRule="exact" w:before="0" w:after="0"/>
              <w:ind w:left="0" w:right="0" w:firstLine="0"/>
              <w:jc w:val="left"/>
            </w:pP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n </w:t>
            </w:r>
            <w:r>
              <w:br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FB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FC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×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FC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min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(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FC</w:t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 xml:space="preserve">)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FC</w:t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 xml:space="preserve">i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FC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i </w:t>
            </w:r>
            <w:r>
              <w:tab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(12) </w:t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Where, ‘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’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the relative significance.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08" w:lineRule="exact" w:before="54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Furthermore, the utility degree of each alternative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has been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calculated using Eq.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(13)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</w:tc>
      </w:tr>
      <w:tr>
        <w:trPr>
          <w:trHeight w:hRule="exact" w:val="610"/>
        </w:trPr>
        <w:tc>
          <w:tcPr>
            <w:tcW w:type="dxa" w:w="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4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U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d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4" w:val="left"/>
              </w:tabs>
              <w:autoSpaceDE w:val="0"/>
              <w:widowControl/>
              <w:spacing w:line="288" w:lineRule="exact" w:before="0" w:after="0"/>
              <w:ind w:left="14" w:right="1584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i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max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100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2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(13) </w:t>
            </w:r>
          </w:p>
        </w:tc>
      </w:tr>
    </w:tbl>
    <w:p>
      <w:pPr>
        <w:autoSpaceDN w:val="0"/>
        <w:autoSpaceDE w:val="0"/>
        <w:widowControl/>
        <w:spacing w:line="286" w:lineRule="exact" w:before="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Where, ‘</w:t>
      </w:r>
      <w:r>
        <w:rPr>
          <w:rFonts w:ascii="CharisSIL" w:hAnsi="CharisSIL" w:eastAsia="CharisSIL"/>
          <w:b w:val="0"/>
          <w:i/>
          <w:color w:val="000000"/>
          <w:sz w:val="16"/>
        </w:rPr>
        <w:t>U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d 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utility degree.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study, the normalised matrix from AHP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was used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FCOPRAS model to estimate the weight of the variables. The CO-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PRAS in conjunction with the fuzzy set produces more accurate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refined outputs because fuzzy sets utilize good algorithms to direct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incompetence, uncertainty, and dubiety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Zhang and Achari, 2010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Elaalem,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and it improves output acceptance. </w:t>
      </w:r>
    </w:p>
    <w:p>
      <w:pPr>
        <w:autoSpaceDN w:val="0"/>
        <w:autoSpaceDE w:val="0"/>
        <w:widowControl/>
        <w:spacing w:line="192" w:lineRule="exact" w:before="394" w:after="18"/>
        <w:ind w:left="0" w:right="244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Relative importance scale for FCOPRAS.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2"/>
        </w:trPr>
        <w:tc>
          <w:tcPr>
            <w:tcW w:type="dxa" w:w="13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Importance </w:t>
            </w:r>
          </w:p>
        </w:tc>
        <w:tc>
          <w:tcPr>
            <w:tcW w:type="dxa" w:w="1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Linguistic form </w:t>
            </w:r>
          </w:p>
        </w:tc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20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Rating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76"/>
        </w:trPr>
        <w:tc>
          <w:tcPr>
            <w:tcW w:type="dxa" w:w="130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Extremely low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Medium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Extremely high </w:t>
            </w:r>
          </w:p>
        </w:tc>
        <w:tc>
          <w:tcPr>
            <w:tcW w:type="dxa" w:w="14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06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EH </w:t>
            </w:r>
          </w:p>
        </w:tc>
        <w:tc>
          <w:tcPr>
            <w:tcW w:type="dxa" w:w="9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 </w:t>
            </w:r>
          </w:p>
        </w:tc>
        <w:tc>
          <w:tcPr>
            <w:tcW w:type="dxa" w:w="70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0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  <w:tc>
          <w:tcPr>
            <w:tcW w:type="dxa" w:w="61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5"/>
        <w:gridCol w:w="1495"/>
        <w:gridCol w:w="1495"/>
        <w:gridCol w:w="1495"/>
        <w:gridCol w:w="1495"/>
        <w:gridCol w:w="1495"/>
        <w:gridCol w:w="1495"/>
      </w:tblGrid>
      <w:tr>
        <w:trPr>
          <w:trHeight w:hRule="exact" w:val="268"/>
        </w:trPr>
        <w:tc>
          <w:tcPr>
            <w:tcW w:type="dxa" w:w="12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S. Saha and P. Mondal 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4" w:after="0"/>
              <w:ind w:left="114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>CI: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>CR: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 result Acceptable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4" w:after="0"/>
              <w:ind w:left="14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4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: Phosphate;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K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Potassium;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Zn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Zinc;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S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Sulphur;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Sd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Soil Depth;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Cu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Copper;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B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Boron;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Mn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Manganese;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EC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Electrical Conductivity;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CEC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Cation Exchange Capacity;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P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0"/>
              </w:rPr>
              <w:t>H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Potential Hydrogen;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BD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Where,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N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Nitrogen;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PO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3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−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4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Bulk Density;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MI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Moisture Index;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STEX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: Soil Texture. </w:t>
            </w:r>
          </w:p>
        </w:tc>
        <w:tc>
          <w:tcPr>
            <w:tcW w:type="dxa" w:w="5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" w:after="0"/>
              <w:ind w:left="0" w:right="34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Artificial Intelligence in Geosciences 3 (2022) 179–191</w:t>
            </w:r>
          </w:p>
        </w:tc>
      </w:tr>
      <w:tr>
        <w:trPr>
          <w:trHeight w:hRule="exact" w:val="1260"/>
        </w:trPr>
        <w:tc>
          <w:tcPr>
            <w:tcW w:type="dxa" w:w="1288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32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Consistency Checking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6" w:after="0"/>
              <w:ind w:left="472" w:right="0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number of variables to sample at random as candidates in each split is 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Liaw and Wiener, 2002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), min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sampsize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i.e the set of samples used to train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(min) is 3, max number of levels in each decision tree 80, ‘maxnodes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’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i.e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terminal nodes (max) and ‘nodsize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’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i.e the terminal nodes (min)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remain default. </w:t>
            </w:r>
          </w:p>
        </w:tc>
      </w:tr>
      <w:tr>
        <w:trPr>
          <w:trHeight w:hRule="exact" w:val="600"/>
        </w:trPr>
        <w:tc>
          <w:tcPr>
            <w:tcW w:type="dxa" w:w="2990"/>
            <w:gridSpan w:val="2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2" w:after="0"/>
              <w:ind w:left="4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3.2.2.2. Multilayer perceptron algorithms.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One of the most basic feed-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forward neural networks is the Multilayer Perceptron. Multilayer per-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ceptrons are bidirectional neural networks in which the inputs 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propagated forward and the weights are propagated backward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Brei-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man, 2001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). A multilayer perceptron has an input layer and an output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layer with one or more hidden layers. All MLPs connect all neurons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one layer to all neurons in the next layer. The input layer receives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input signals, and the output layer performs the intended task. All of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calculations are done by the hidden layers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Wang et al., 2021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). </w:t>
            </w:r>
          </w:p>
        </w:tc>
      </w:tr>
      <w:tr>
        <w:trPr>
          <w:trHeight w:hRule="exact" w:val="1440"/>
        </w:trPr>
        <w:tc>
          <w:tcPr>
            <w:tcW w:type="dxa" w:w="1288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4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>i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FCOPRAS Weight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U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>d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488" w:right="117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2990"/>
            <w:gridSpan w:val="2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54" w:after="0"/>
              <w:ind w:left="4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3.2.3. Effectiveness estimation of applied models/algorithms </w:t>
            </w:r>
          </w:p>
        </w:tc>
      </w:tr>
      <w:tr>
        <w:trPr>
          <w:trHeight w:hRule="exact" w:val="354"/>
        </w:trPr>
        <w:tc>
          <w:tcPr>
            <w:tcW w:type="dxa" w:w="1288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3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AHP Weight (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vw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910"/>
        </w:trPr>
        <w:tc>
          <w:tcPr>
            <w:tcW w:type="dxa" w:w="2990"/>
            <w:gridSpan w:val="2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16" w:right="5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6" w:after="0"/>
              <w:ind w:left="472" w:right="0" w:firstLine="0"/>
              <w:jc w:val="both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3.2.3.1. 3.2.3.1. ROC (receiver operating characteristic curve).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Receiver Operating Characteristic Curve (ROC curve) is a graph that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shows the output of a classification model at all classification levels. If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area under the ROC curve (AUC) values between 0.9 and 1 were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considered excellent, the values between 0.8 and 0.9 were considered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good, the values between 0.7 and 0.8 were considered fair, the values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between 0.6 and 0.7 were considered poor, and the values between 0.5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 0.6 were considered failed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Bradley, 1997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;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Sarkar et al., 2022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). </w:t>
            </w:r>
          </w:p>
        </w:tc>
      </w:tr>
      <w:tr>
        <w:trPr>
          <w:trHeight w:hRule="exact" w:val="600"/>
        </w:trPr>
        <w:tc>
          <w:tcPr>
            <w:tcW w:type="dxa" w:w="128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3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STEX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20" w:right="19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28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32" w:after="0"/>
              <w:ind w:left="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MI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6" w:right="14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128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32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BD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14" w:right="25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472" w:right="0" w:firstLine="0"/>
              <w:jc w:val="both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3.2.3.2. Accuracy measurement.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Accuracy is defined as the degree 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which the outcome of measurement corresponds to the correct value or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standard and refers to the degree to which a measurement is near to its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agreed-upon value, i.e., it is the degree of consistency between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outcome of measurement and the true value of the thing being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measured. Equation 16 was used to measure the accuracy of the final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outputs. The flow diagram and soil testing processes of the whole study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area are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</w:tc>
      </w:tr>
      <w:tr>
        <w:trPr>
          <w:trHeight w:hRule="exact" w:val="560"/>
        </w:trPr>
        <w:tc>
          <w:tcPr>
            <w:tcW w:type="dxa" w:w="128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4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H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20" w:right="15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1008"/>
            <w:vMerge w:val="restart"/>
            <w:tcBorders>
              <w:end w:sz="4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00" w:after="0"/>
              <w:ind w:left="140" w:right="288" w:firstLine="0"/>
              <w:jc w:val="left"/>
            </w:pPr>
            <w:r>
              <w:rPr>
                <w:w w:val="102.47142655508858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Table 5 </w:t>
            </w:r>
            <w:r>
              <w:br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Normalised pair-wise comparison matrix with criteria rating, CI and CR, AHP and FCOPRAS Weights. </w:t>
            </w:r>
          </w:p>
        </w:tc>
        <w:tc>
          <w:tcPr>
            <w:tcW w:type="dxa" w:w="280"/>
            <w:vMerge w:val="restart"/>
            <w:tcBorders>
              <w:start w:sz="4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2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CEC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EC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Mn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Cu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Sd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Zn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4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>3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Variable 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06" w:right="14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14" w:right="15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54" w:val="left"/>
                <w:tab w:pos="1670" w:val="left"/>
                <w:tab w:pos="1846" w:val="left"/>
                <w:tab w:pos="3096" w:val="left"/>
              </w:tabs>
              <w:autoSpaceDE w:val="0"/>
              <w:widowControl/>
              <w:spacing w:line="328" w:lineRule="exact" w:before="0" w:after="0"/>
              <w:ind w:left="4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Accuracy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overall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=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predicted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values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true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values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autoSpaceDE w:val="0"/>
              <w:widowControl/>
              <w:spacing w:line="262" w:lineRule="exact" w:before="0" w:after="0"/>
              <w:ind w:left="472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 xml:space="preserve">4. Result analysis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92" w:after="0"/>
              <w:ind w:left="28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100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6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(15) </w:t>
            </w:r>
          </w:p>
        </w:tc>
      </w:tr>
      <w:tr>
        <w:trPr>
          <w:trHeight w:hRule="exact" w:val="50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60" w:right="15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46" w:right="2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0" w:after="0"/>
              <w:ind w:left="472" w:right="144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4.1. Execution of the AHP method for estimating relative weights of the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variables </w:t>
            </w:r>
          </w:p>
        </w:tc>
      </w:tr>
      <w:tr>
        <w:trPr>
          <w:trHeight w:hRule="exact" w:val="52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14" w:right="11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55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4" w:after="0"/>
              <w:ind w:left="472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All the selected sixteen different variables including nitrogen (N),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copper (Cu), manganese (Mn), zinc (Zn), sulphur (S), boron (B), phos-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phate, and potassium (K), electrical conductivity (EC), Cation Exchange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Capacity (CEC), soil pH, bulk density, soil moisture, soil organic carbon,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soil depth, and soil texture have been classified into suitable classes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based on natural break classification in GIS environment. The Inverse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Distance Weighted (IDW) interpolation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Chen and Liu, 2012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technique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has been used to generate spatial distribution maps.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472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spatial distribution of nitrogen (N) has been categorised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into five potential classes based on natural break classification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Febrianto et al., 2016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in the GIS environment, where the 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&gt;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70 Zone has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most potential, with 20.83 per cent (21832.44 ha) area.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1.64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1.98 copper (Cu) Zone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b) is more suitable, with an 11.79 per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cent (12354.32 ha) area. The thematic distribution of manganese (Mn)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 zinc (Zn) is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c;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d) also classified into five classes, where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16.37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19.98 Mn Zone and the 0.87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0.99 Zn Zone have more po-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tential, with 15.23 per cent (15955.27 ha) and 5.95 per cent (6234.64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ha) of the total area, respectively. The spatial database of the Sulphur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e) has been classified as 67.36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71.85, 71.85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79.76, 79.76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87.00,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87.00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96.01, and 96.01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113.36, respectively. Boron Zone 0.32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0.36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f) has the most potential, with a 13.31 per cent (13951.9 ha) area.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Phosphate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g) Zone 255.74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310.30 has the most potential, </w:t>
            </w:r>
          </w:p>
        </w:tc>
      </w:tr>
      <w:tr>
        <w:trPr>
          <w:trHeight w:hRule="exact" w:val="56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20" w:right="15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26" w:right="14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32" w:right="13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40" w:right="13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126" w:right="166" w:hanging="2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4" w:lineRule="exact" w:before="64" w:after="0"/>
              <w:ind w:left="212" w:right="14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1495"/>
            <w:vMerge/>
            <w:tcBorders>
              <w:end w:sz="4.0" w:val="single" w:color="#000000"/>
            </w:tcBorders>
          </w:tcPr>
          <w:p/>
        </w:tc>
        <w:tc>
          <w:tcPr>
            <w:tcW w:type="dxa" w:w="1495"/>
            <w:vMerge/>
            <w:tcBorders>
              <w:start w:sz="4.0" w:val="single" w:color="#000000"/>
            </w:tcBorders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43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N 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424" w:right="144" w:hanging="162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4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>3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−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Zn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Cu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STEX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4485"/>
            <w:gridSpan w:val="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12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74396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7439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Flow diagram of the Whole Study.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accounting for 7.01 per cent (7346.602 ha) of the total area. The spatial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 of the potassium (K) has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h) been classified into five potential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classes, where the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70 Zone is the most suitable, with a 20.83 per 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(21832.44 ha) area. The Electrical Conductivity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i) Zone 1.41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2.29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Cation Exchange Capacity (CEC) Zone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g) 21.74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26.96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a potential of 20.37 per cent (21350.92 ha) and 9.45 per cent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71564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15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Influecing variable of the Soil Fertility (a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–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o); (a) Nitrogen (N), (b) Copper, (c) Manganese, (d) Zinc, (e) Sulphur, (f) Boron, (g) Phosphate, (h) Potassium, (i) </w:t>
      </w:r>
    </w:p>
    <w:p>
      <w:pPr>
        <w:autoSpaceDN w:val="0"/>
        <w:autoSpaceDE w:val="0"/>
        <w:widowControl/>
        <w:spacing w:line="234" w:lineRule="exact" w:before="0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Electric Conductivity(EC), (j) CEC, (k) PH, (l) Bulk Density, (m) Soil Moisture, (n) Soil Depth, (o) Soil texture.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thematic layer of soil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o) has been classified into six classes: W019,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W020, W021, W032, W033, and W034 respectively. W019, W021,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W032 belong to the new alluvial Zone, which has a high potential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cultivation with 38.18 per cent (40009.26 ha), 39.28 per 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(41156.81 ha), and 13.83 per cent (14490.93 ha) respectively.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8435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84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18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Potential soil mapping (a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–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d); (a) AHP, (b) FCOPRAS, (c)Random forest, (d) multilayer perceptron.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(High) accounts for 20.52 per cent (21503.99 ha), and Zone V (Very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High) accounts for 12.53 per cent (13133.67 ha). </w:t>
      </w:r>
    </w:p>
    <w:p>
      <w:pPr>
        <w:autoSpaceDN w:val="0"/>
        <w:autoSpaceDE w:val="0"/>
        <w:widowControl/>
        <w:spacing w:line="210" w:lineRule="exact" w:before="50" w:after="0"/>
        <w:ind w:left="0" w:right="1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final potential suitability map using FCOPRAS weight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 in the GIS environment and classified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b) into five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suitable Zones: Zone I (Very Low) with 17.51 per cent (18344.56 ha),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Zone II (Low) with 24.77 per cent (25961.01 ha), Zone III (moderate)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19.79 per cent (20733.26 ha), Zone IV (High) with 22.54 per 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(23620.65 ha), and Zone V (Very high) with 15.39 per cent (16130.52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ha) of the total area, respectively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192" w:lineRule="exact" w:before="434" w:after="0"/>
        <w:ind w:left="0" w:right="115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Area distribution of potential classes using MCDM and ML. </w:t>
      </w:r>
    </w:p>
    <w:p>
      <w:pPr>
        <w:autoSpaceDN w:val="0"/>
        <w:autoSpaceDE w:val="0"/>
        <w:widowControl/>
        <w:spacing w:line="210" w:lineRule="exact" w:before="46" w:after="24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AHP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617"/>
        <w:gridCol w:w="2617"/>
        <w:gridCol w:w="2617"/>
        <w:gridCol w:w="2617"/>
      </w:tblGrid>
      <w:tr>
        <w:trPr>
          <w:trHeight w:hRule="exact" w:val="260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Potentiality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(%)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(ha) </w:t>
            </w:r>
          </w:p>
        </w:tc>
      </w:tr>
      <w:tr>
        <w:trPr>
          <w:trHeight w:hRule="exact" w:val="950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2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High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10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22.50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19.57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20.52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12.53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6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23581.74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26062.27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20508.32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21503.99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13133.67 </w:t>
            </w:r>
          </w:p>
        </w:tc>
      </w:tr>
    </w:tbl>
    <w:p>
      <w:pPr>
        <w:autoSpaceDN w:val="0"/>
        <w:autoSpaceDE w:val="0"/>
        <w:widowControl/>
        <w:spacing w:line="210" w:lineRule="exact" w:before="20" w:after="22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FCOPRAS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Potentiality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(%)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(ha) </w:t>
            </w:r>
          </w:p>
        </w:tc>
      </w:tr>
      <w:tr>
        <w:trPr>
          <w:trHeight w:hRule="exact" w:val="950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High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0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17.51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15.39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6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18344.56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25961.01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20733.26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23620.65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16130.52 </w:t>
            </w:r>
          </w:p>
        </w:tc>
      </w:tr>
    </w:tbl>
    <w:p>
      <w:pPr>
        <w:autoSpaceDN w:val="0"/>
        <w:autoSpaceDE w:val="0"/>
        <w:widowControl/>
        <w:spacing w:line="208" w:lineRule="exact" w:before="20" w:after="24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Random Forest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Potentiality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(%)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(ha) </w:t>
            </w:r>
          </w:p>
        </w:tc>
      </w:tr>
      <w:tr>
        <w:trPr>
          <w:trHeight w:hRule="exact" w:val="950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High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0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18.46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23.63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14.67 </w:t>
            </w:r>
          </w:p>
        </w:tc>
        <w:tc>
          <w:tcPr>
            <w:tcW w:type="dxa" w:w="6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19343.35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21948.15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24762.12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23367.9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15368.46 </w:t>
            </w:r>
          </w:p>
        </w:tc>
      </w:tr>
    </w:tbl>
    <w:p>
      <w:pPr>
        <w:autoSpaceDN w:val="0"/>
        <w:autoSpaceDE w:val="0"/>
        <w:widowControl/>
        <w:spacing w:line="208" w:lineRule="exact" w:before="20" w:after="24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Multilayer Perceptron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13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</w:t>
            </w:r>
          </w:p>
        </w:tc>
        <w:tc>
          <w:tcPr>
            <w:tcW w:type="dxa" w:w="1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Potentiality </w:t>
            </w:r>
          </w:p>
        </w:tc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(%) </w:t>
            </w:r>
          </w:p>
        </w:tc>
        <w:tc>
          <w:tcPr>
            <w:tcW w:type="dxa" w:w="6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(ha) </w:t>
            </w:r>
          </w:p>
        </w:tc>
      </w:tr>
      <w:tr>
        <w:trPr>
          <w:trHeight w:hRule="exact" w:val="934"/>
        </w:trPr>
        <w:tc>
          <w:tcPr>
            <w:tcW w:type="dxa" w:w="135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51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Very High </w:t>
            </w:r>
          </w:p>
        </w:tc>
        <w:tc>
          <w:tcPr>
            <w:tcW w:type="dxa" w:w="136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5.46 </w:t>
            </w:r>
          </w:p>
        </w:tc>
        <w:tc>
          <w:tcPr>
            <w:tcW w:type="dxa" w:w="65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8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11031.33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27262.28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37718.49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23059.92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5717.977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320039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200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Validation of the results applying ROC. </w:t>
      </w:r>
    </w:p>
    <w:p>
      <w:pPr>
        <w:autoSpaceDN w:val="0"/>
        <w:autoSpaceDE w:val="0"/>
        <w:widowControl/>
        <w:spacing w:line="260" w:lineRule="exact" w:before="19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6. Discussion </w:t>
      </w:r>
    </w:p>
    <w:p>
      <w:pPr>
        <w:autoSpaceDN w:val="0"/>
        <w:autoSpaceDE w:val="0"/>
        <w:widowControl/>
        <w:spacing w:line="262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6.1. Soil potentiality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Based on the results of the MCDM, Berail, Deul, Akcha G.P. (Khus-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mandi C.D. Block), Gokamo, and Bagichapur G.P. (Harirampur C.D.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Block) have very low soil potential, while Udaypur, Kalikamera,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Maligaon G.P. have higher soil potential. Places with very high soil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 for agriculture include Ellahbad (Banshihari C.D. Block), Bel-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bari, Gangarampur G.P. (Gangarampur C.D. Block), etc. From the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outputs, it is found that Sukhdebpur G.P., Maligaon G.P., Basuria G.P.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Nandanpur G.P., NW Saiyadpur G.P., Southern Sirshi G.P., Ganguria 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P., NW Karanji G.P. have the least potential, whereas Berail G.P., Deul 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P., Akcha G.P., Asokegram G.P., Kushmandi G.P., Northern Karanji G.P.,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etc have the highest potential for agriculture. </w:t>
      </w:r>
    </w:p>
    <w:p>
      <w:pPr>
        <w:autoSpaceDN w:val="0"/>
        <w:autoSpaceDE w:val="0"/>
        <w:widowControl/>
        <w:spacing w:line="216" w:lineRule="exact" w:before="4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Deficiency in Nitrogen, Copper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Chaudhry and Loneragan., 1970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 Soil Moisture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Nagy et al., 2007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Deficiency in Manganese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Schmidt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Zinc, Sulphur, Boron, Phosphate, Potassium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Seth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High Bulk Density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Blake, 1965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Older Alluvial Soil, High pH,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least soil depth, etc are the main reason behind low to very 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potentiality of Soil for agriculture. Whereas Optimum concentration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Nitrogen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65 cg/kg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Copper (1.02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1.98 ppm), Soil Moisture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(0.36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0.78), Manganese (11.0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19.98 ppm), Zinc (0.75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0.99 ppm),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Boron (0.25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0.38 ppm), Sulphur (75.0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113.36 mg/kg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Phosphate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195.0 kg/ha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Potassium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 kg/ha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low Bulk Density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1.55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g/cm3), Older Alluvial Soil, ideal PH (6.5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7.5), low EC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0.46 dS/m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 CEC activity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20.0 cmloc/kg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ideal soil depth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5000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cm) etc are the main reason behind low to very low soil positive 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tentiality for agriculture.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(1 ppm </w:t>
      </w:r>
      <w:r>
        <w:rPr>
          <w:rFonts w:ascii="TeX_CM_Bold_Maths_Symbols" w:hAnsi="TeX_CM_Bold_Maths_Symbols" w:eastAsia="TeX_CM_Bold_Maths_Symbols"/>
          <w:b/>
          <w:i w:val="0"/>
          <w:color w:val="000000"/>
          <w:sz w:val="16"/>
        </w:rPr>
        <w:t>¼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0.001 g/kg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62" w:lineRule="exact" w:before="26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6.2. Model calibration, validation, and effectiveness </w:t>
      </w:r>
    </w:p>
    <w:p>
      <w:pPr>
        <w:autoSpaceDN w:val="0"/>
        <w:autoSpaceDE w:val="0"/>
        <w:widowControl/>
        <w:spacing w:line="282" w:lineRule="exact" w:before="136" w:after="0"/>
        <w:ind w:left="0" w:right="1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areal changing matrix, it is found that there is about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4.998 per cent variation for Zone I from the FCOPRAS to AHP, whereas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0.215 per cent for Zone III and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2.860 per cent for Zone V.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ROC and accuracy estimation indicate that the FCOPRAS is more valid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accurate than the AHP, with 91.9 percent and 84.31 percent,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respectively. Another hand, it is found that there is about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1.021 per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autoSpaceDN w:val="0"/>
        <w:autoSpaceDE w:val="0"/>
        <w:widowControl/>
        <w:spacing w:line="236" w:lineRule="exact" w:before="168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7 </w:t>
      </w:r>
    </w:p>
    <w:p>
      <w:pPr>
        <w:autoSpaceDN w:val="0"/>
        <w:autoSpaceDE w:val="0"/>
        <w:widowControl/>
        <w:spacing w:line="234" w:lineRule="exact" w:before="0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Areal Changing Matrix among the applied techniques for Proficiency.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4"/>
        <w:gridCol w:w="1304"/>
        <w:gridCol w:w="1304"/>
        <w:gridCol w:w="1304"/>
        <w:gridCol w:w="1304"/>
        <w:gridCol w:w="1304"/>
        <w:gridCol w:w="1304"/>
        <w:gridCol w:w="1304"/>
      </w:tblGrid>
      <w:tr>
        <w:trPr>
          <w:trHeight w:hRule="exact" w:val="260"/>
        </w:trPr>
        <w:tc>
          <w:tcPr>
            <w:tcW w:type="dxa" w:w="15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Changing Matrix </w:t>
            </w:r>
          </w:p>
        </w:tc>
        <w:tc>
          <w:tcPr>
            <w:tcW w:type="dxa" w:w="1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Potential Zone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41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4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3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Area Changes (%) </w:t>
            </w:r>
          </w:p>
        </w:tc>
      </w:tr>
      <w:tr>
        <w:trPr>
          <w:trHeight w:hRule="exact" w:val="560"/>
        </w:trPr>
        <w:tc>
          <w:tcPr>
            <w:tcW w:type="dxa" w:w="15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FCOPRAS TO AHP </w:t>
            </w:r>
          </w:p>
        </w:tc>
        <w:tc>
          <w:tcPr>
            <w:tcW w:type="dxa" w:w="148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318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III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IV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ZONE V </w:t>
            </w:r>
          </w:p>
        </w:tc>
        <w:tc>
          <w:tcPr>
            <w:tcW w:type="dxa" w:w="118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314" w:right="29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0.201700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0.157486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0.117587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0.033267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0.105843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0.137107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0.089297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0.319210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0.117373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0.187911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0.193541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0.068443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0.307301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0.151701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0.166700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0.192102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0.117543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0.072708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0.008263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0.087597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0.287889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0.120461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0.049384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0.009116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0.108357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0.326129 </w:t>
            </w:r>
          </w:p>
        </w:tc>
        <w:tc>
          <w:tcPr>
            <w:tcW w:type="dxa" w:w="120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0.798300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0.257500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0.302111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0.238813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0.164749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0.327747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0.288813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0.136498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0.258886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0.179420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0.230085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0.257795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0.088551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0.252792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0.226916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0.209058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0.257224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0.263939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0.34743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0.210192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0.211079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0.244678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0.263102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0.347397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0.201458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0.214086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0.240484 </w:t>
            </w:r>
          </w:p>
        </w:tc>
        <w:tc>
          <w:tcPr>
            <w:tcW w:type="dxa" w:w="120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0.742500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0.216500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0.376136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0.323425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0.46348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0.361057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0.223202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0.128482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0.188157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0.425643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0.251662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0.199592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0.116568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0.165329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0.385488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0.299185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0.198763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0.263867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0.313515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0.534505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0.428551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0.225435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0.273037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0.349756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0.54481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0.391964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0.202888 </w:t>
            </w:r>
          </w:p>
        </w:tc>
        <w:tc>
          <w:tcPr>
            <w:tcW w:type="dxa" w:w="118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0.783500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0.185800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0.09056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0.249753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0.322826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0.157288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0.270503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0.237723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0.200992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0.234080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0.209324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0.243720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0.247058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0.211720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0.208471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0.215987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0.241431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0.246819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0.235952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0.236024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0.212648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0.15783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0.241889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0.236305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0.228693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0.215493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0.146859 </w:t>
            </w:r>
          </w:p>
        </w:tc>
        <w:tc>
          <w:tcPr>
            <w:tcW w:type="dxa" w:w="120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324" w:right="30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0.000000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0.814200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0.073707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0.070423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0.015678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0.048063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0.080375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0.408001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0.032754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0.043483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0.121018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0.105352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0.479379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0.062858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0.027425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0.109070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0.110480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0.107832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0.030395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0.011016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0.060125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0.084167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0.101511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0.017158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0.015923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0.070099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0.08364 </w:t>
            </w:r>
          </w:p>
        </w:tc>
        <w:tc>
          <w:tcPr>
            <w:tcW w:type="dxa" w:w="1454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318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-0.22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-2.02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-2.86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-5.07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-12.36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9.21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-3.98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-3.90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1.76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-3.80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-0.26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-0.74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-1.24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-16.21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-1.15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-16.42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-1.48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7.08 </w:t>
            </w:r>
          </w:p>
        </w:tc>
      </w:tr>
      <w:tr>
        <w:trPr>
          <w:trHeight w:hRule="exact" w:val="840"/>
        </w:trPr>
        <w:tc>
          <w:tcPr>
            <w:tcW w:type="dxa" w:w="1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 TO MLP </w:t>
            </w:r>
          </w:p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860"/>
        </w:trPr>
        <w:tc>
          <w:tcPr>
            <w:tcW w:type="dxa" w:w="1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AHP TO RF </w:t>
            </w:r>
          </w:p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860"/>
        </w:trPr>
        <w:tc>
          <w:tcPr>
            <w:tcW w:type="dxa" w:w="1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FCOPRAS TO RF </w:t>
            </w:r>
          </w:p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860"/>
        </w:trPr>
        <w:tc>
          <w:tcPr>
            <w:tcW w:type="dxa" w:w="1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FCOPRAS TO MLP </w:t>
            </w:r>
          </w:p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1238"/>
        </w:trPr>
        <w:tc>
          <w:tcPr>
            <w:tcW w:type="dxa" w:w="150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AHP TO MLP </w:t>
            </w:r>
          </w:p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04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258"/>
        <w:ind w:left="0" w:right="0"/>
      </w:pP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represented in a simple, categorised map manner via GIS-based land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 analysis. According to the findings, the area is an 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agricultural region. The main factors are optimum organic carbon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tent, low bulk density, optimum soil pH, and cation exchange capability,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are behind the high potential. The primary causes of less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ductive areas are sluggish soil quality, lack of soil moisture, and so 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 this location is naturally rich, there is a threat of crop devas-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tation because of flooding during the rainy season. From the validity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estimation, it is found that FCOPRAS and RF techniques are more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ficient with 91.9 per cent and 92.0 per cent respectively. Farming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a big impact on the environment. Even though the negative effects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serious and can include pollution and the degradation of soil, water,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air, agriculture can also have positive effects on the environment.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example, crops and soils can trap greenhouse gases. This suitability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helps the government instruct farmers on how to choose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 place for farming to preserve the environment. Government au-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thorities should take steps to strengthen flood forecasting systems, flood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management measures, marketing facilities, transportation, and soil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management to minimise damage and promote growth in this area.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will also assist governmental and non-governmental organisations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this region in executing development strategies and managing agri-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cultural land. </w:t>
      </w:r>
    </w:p>
    <w:p>
      <w:pPr>
        <w:autoSpaceDN w:val="0"/>
        <w:autoSpaceDE w:val="0"/>
        <w:widowControl/>
        <w:spacing w:line="260" w:lineRule="exact" w:before="37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08" w:lineRule="exact" w:before="210" w:after="0"/>
        <w:ind w:left="0" w:right="1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hereby declare that there is no conflict of interest.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research work, no humans or animals are wounded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harmed in any way. </w:t>
      </w:r>
    </w:p>
    <w:p>
      <w:pPr>
        <w:autoSpaceDN w:val="0"/>
        <w:autoSpaceDE w:val="0"/>
        <w:widowControl/>
        <w:spacing w:line="260" w:lineRule="exact" w:before="21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Acknowledgements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are very much thankful to Dr. Gopal Chandra Debnath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(Retired Professor, Visva Bharati, West Bengal, India) and Former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fessor Dr. Narayan Chandra Ghosh (Rabindra Bharati University, West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Bengal, India) for their valuable suggestions throughout the study.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189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52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Dedeo</w:t>
      </w:r>
      <w:r>
        <w:rPr>
          <w:w w:val="98.09076602642352"/>
          <w:rFonts w:ascii="TeX_CM_Roman" w:hAnsi="TeX_CM_Roman" w:eastAsia="TeX_CM_Roman"/>
          <w:b w:val="0"/>
          <w:i w:val="0"/>
          <w:color w:val="000000"/>
          <w:sz w:val="13"/>
        </w:rPr>
        <w:t>˘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glu, M., Dengiz, O., 2019. Generating of land suitability index for wheat with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hybrid system aproach using AHP and GIS. Comput. Electron. Agric. 167, 105062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https://doi.org/10.1016/j.compag.2019.105062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Do 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armo, D.L., De Lima, L.B., Silva, C.A., 2016. Soil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 xml:space="preserve"> fertility and electrical conductivity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affected by organic waste rates and nutrient inputs. Rev. Bras. Cienc. Solo. 40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Duc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, T.T., 2006. Using GIS and AHP technique for land-use suitability analysis.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t.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Symp. Geo. Informa. spatial inf. Dev. earth allied. sci. 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Ebra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himi, M., Nejadsoleymani, H., Mansouri Daneshvar, M.R.,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 2019. Land suitability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map and ecological carrying capacity for the recognition of touristic Zones in th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Kalat region, Iran: a multi-criteria analysis based on AHP and GIS. Asia-Pacific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J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Regional Sci. 3 (3), 697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718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5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Elaa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lem, M., 2012. Land suitabili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ty evaluation for sorghum based on boolean and fuzzy-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multi-criteria decision analysis methods. Int. Environ. Sci. Dev. 3 (4), 357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361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FAO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, 1976. A Framework for Land Evaluation, vol. 32. FAO Soil. Bull.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0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Febrianto, H., Fariza, A., Nur Hasim, J.A., 2016. Urban flood risk mapp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ing using analytic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hierarchy process and natural break classification (Case study: surabaya, East Java,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Indonesia). Int. Conf. Know. Creat. Int. Comp.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kcic.2016.7883639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238" w:right="144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Feiz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izadeh, B., Jankow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ski, P., Blaschke, T., 2014. A GIS based spatially-explicit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sensitivity and uncertainty analysis approach for multi-criteria decision an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alysis.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Comp. Geo sci. 64, 81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95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Fran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cois, L.E., Maas, E.V., Do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novan, T.J., Youngs, V.L., 1986. Effect of salinity on grain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yield and quality, vegetative growth, and germination of semi-dwarf and durum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wheat. Agron. J. 78 (6), 1053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1058.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https://doi.org/10.2134/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agronj1986.00021962007800060023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40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Gho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sh, A., Maiti, R., 2021. Development of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 xml:space="preserve"> new Ecological Susceptibility Index (ESI) for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monitoring ecological risk of river corridor using F-AHP and AHP and its application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on the Mayurakshi river of Eastern India. Ecol. Inf. 63, 101318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Grig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g, D., 1995. An Introduction Agricultural Geography, vol. 11. Ro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ut. Pub.. New Fetter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Lane, London EC4P 4EE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Hald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 xml:space="preserve">er, B., Bandyopadhyay,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J., Banik, P., 2020. Assessment of hospital sites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 xml:space="preserve">’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suitability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by spatial information technologies using AHP and GIS-based multi-criteria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approach of Rajpur-Sonarpur Municipality. Mod. Earth Syst. Environ. 6 (4)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2581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2596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Hay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ashi, K., 20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00. Multi criteria analysis for agricultural resource management: a critical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survey and future perspectives. Eur. J. Oper. Res. 122, 486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500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4" w:after="0"/>
        <w:ind w:left="0" w:right="432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Hop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kins, L., 1977. Methods for generating land suitability maps: a 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omparative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evaluation. J. American Inst. Plann. 34 (1), 19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29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Ibra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him, Y.H., Adeola, S.S., Ibrahim, L.H., 2016. Deter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minants of food insecurity among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farming households in Katsina state, North Western Nigeria: an ordinal logit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regression approach. J. Agric. Sci. 61 (3), 291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301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Jam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il, M., Sahana, M., Sajjad, H., 2018. Crop suitabilit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y analysis in the bijnor district,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UP, using geospatial tools and fuzzy analytical hierarchy process. Agribiol. Res. 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(8), 506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522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Jaya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raman, V., 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ridevi, S., Monica, K.M., Lakshminarayanan, A.R., 2021. Predicting the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soil suitability using machine learning techniques. Int. Conf. Dis. Tech. Multi-Dis.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Res. Appl. 1, 200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202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Joer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in, F., Theriault, M., 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usy, A., 2001. Using GIS and outranking multicriteria analysis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for land-use suitability assessment. Int. J. Geogr. Inf. Sci. 15 (2), 153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174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40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Kiho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ro, J., Bosco, N., Murage, H., 2013. Suitability analysis for rice growing sit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es using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multi criteria evaluation and GIS approach in great Mwea region, Kenya. Sprin. P. 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(1), 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4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Lam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bin, E.F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., Meyfroidt, P., 2011. Global land use change, economic globalization,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the looming land scarcity. Proc. Natl. Acad. Sci. USA 108 (9), 3465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3472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2" w:after="0"/>
        <w:ind w:left="238" w:right="40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Li, S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., Li, Q., Wang, C., Li, B., Gao, X., Li, Y., Wu, D., 2019. Spatial variability 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f soil bulk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density and its controlling factors in an agricultural intensive area of Chengdu Plain,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Southwest China. J. Integr. Agric. 18 (2), 290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300.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https://doi.org/10.1016/S2095-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3119(18)61930-6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Liaw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, A., Wiener, M.,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2002. Classification and regression by random Forest. R. News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2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(3), 18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22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Mal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czewski, J.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, 2004. GIS-based land suitability: a critical overview. Prog. Plann. 62 (1),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65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432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Mal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czew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ski, J., 2006. GIS-based multi-criteria decision analysis: a survey of the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literature. Int. J. Geogr. Inf. Sci. 20 (7), 703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726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Mal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czewski, J., Boroushaki, S., 2008. Implementing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n extension of the analytical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hierarchy process using ordered weighted averaging operators with fuzzy quant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ifier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s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in ArcGIS. Comput. Geosci. 34 (4), 399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410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4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Men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das, A., Delali, A., 2012. Integration of mult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i-criteria decision analysis in GIS to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 xml:space="preserve">develop land suitability for agriculture: application to durum wheat cultivation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the region of Mleta in Algeria. Comput. Electron. Agric. 83, 117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126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Mist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ri, P., Sengupta, S., 2020. Multi-criteria decision-making approaches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 agricultural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land suitability classification of Malda district, eastern India. Nat. Resour. Res. 29,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2237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2256.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https://doi.org/10.1007/s11053-019-09556-8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238" w:right="40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Mokarram, M.,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minzadeh, F., 2010. GIS-based multi-criteria 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and suitability evaluation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using ordered weight averaging with fuzzy quantifier: a case study in Shavur Plai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,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Iran. Int. Arch. Photo. Remote Sens. Spatial Infor. Sci. 38 (2), 508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512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144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Mos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adeghi, R., Warnken, J., Tomlinson, R., Mirfenderesk, H., 2015. Compa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rison of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Fuzzy-AHP and AHP in a spatial multi-criteria decision making model for urba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land-use planning. Comput. Environ. Urban Syst. 49, 54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65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Mur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ayam, Y., Bunruamkaew, K., 2011. Site suitability evaluatio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n for ecotourism using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 xml:space="preserve">GIS 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AHP: a case study of surat thani province, Thailand. Pro. Soci. Beha. Sci. 21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269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278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Nag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y, V., Ste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kauerov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´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a, V., Nem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´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enyi, M., Milics, G., Koltai, G., 2007. The role of soil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moisture regime in sustainable agriculture in both side of river Danube in 2002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2003. Cereal Res. Commun. 35 (2), 821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824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190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Saha and P. Mondal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179–191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Turanoglu Bekar, E., Cakmakci, M., Kahraman, C., 2016. Fuzzy COPRAS method for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performance measurement in total productive maintenance: a comparative analy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sis.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J. Bus. Econ. Manag. 17 (5), 663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684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4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Turg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 xml:space="preserve">ut, B., 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¨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 xml:space="preserve">Ozalp, A.Y., Akıncı, H., 2013.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Agricultural land use suitability analysis using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GIS and AHP technique. Comput. Electron. Agric. 97, 71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82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van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Erp, P.J., Houba, V.J.G., van Beusichem, M.L., 2001. Actual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cation exchange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capacity of agricultural soils and its relationship with pH and content of organic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carbon and clay. Commun. Soil Sci. Plant Anal. 32 (1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2), 19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10.1081/CSS-100102990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Wan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g, P., Hafshejani, B.A., W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ang, D., 2021. An improved multilayer perceptron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approach for detecting sugarcane yield production in IoT based smart agriculture.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Microprocess. Microsyst. 82, 103822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https://doi.org/10.1016/j.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23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micpro.2021.103822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84" w:space="0"/>
            <w:col w:w="5349" w:space="0"/>
            <w:col w:w="10433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191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60" w:space="0"/>
        <w:col w:w="5373" w:space="0"/>
        <w:col w:w="10433" w:space="0"/>
        <w:col w:w="5060" w:space="0"/>
        <w:col w:w="5373" w:space="0"/>
        <w:col w:w="10433" w:space="0"/>
        <w:col w:w="5084" w:space="0"/>
        <w:col w:w="5349" w:space="0"/>
        <w:col w:w="10433" w:space="0"/>
        <w:col w:w="5084" w:space="0"/>
        <w:col w:w="5384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12.003" TargetMode="External"/><Relationship Id="rId10" Type="http://schemas.openxmlformats.org/officeDocument/2006/relationships/hyperlink" Target="http://www.keaipublishing.com/en/journals/artificial-intelligence-in-geosciences" TargetMode="External"/><Relationship Id="rId11" Type="http://schemas.openxmlformats.org/officeDocument/2006/relationships/hyperlink" Target="mailto:sahasunil2507@gmail.com" TargetMode="External"/><Relationship Id="rId12" Type="http://schemas.openxmlformats.org/officeDocument/2006/relationships/hyperlink" Target="mailto:mon.prolay@gmail.com" TargetMode="External"/><Relationship Id="rId13" Type="http://schemas.openxmlformats.org/officeDocument/2006/relationships/hyperlink" Target="http://creativecommons.org/licenses/by/4.0/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hyperlink" Target="https://soilgrids.org/" TargetMode="External"/><Relationship Id="rId21" Type="http://schemas.openxmlformats.org/officeDocument/2006/relationships/hyperlink" Target="https://earthexplorer.usgs.gov/" TargetMode="External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hyperlink" Target="https://doi.org/10.1016/j.compag.2019.105062" TargetMode="External"/><Relationship Id="rId27" Type="http://schemas.openxmlformats.org/officeDocument/2006/relationships/hyperlink" Target="http://refhub.elsevier.com/S2666-5441(22)00036-3/sref17" TargetMode="External"/><Relationship Id="rId28" Type="http://schemas.openxmlformats.org/officeDocument/2006/relationships/hyperlink" Target="http://refhub.elsevier.com/S2666-5441(22)00036-3/sref18" TargetMode="External"/><Relationship Id="rId29" Type="http://schemas.openxmlformats.org/officeDocument/2006/relationships/hyperlink" Target="http://refhub.elsevier.com/S2666-5441(22)00036-3/sref19" TargetMode="External"/><Relationship Id="rId30" Type="http://schemas.openxmlformats.org/officeDocument/2006/relationships/hyperlink" Target="http://refhub.elsevier.com/S2666-5441(22)00036-3/sref20" TargetMode="External"/><Relationship Id="rId31" Type="http://schemas.openxmlformats.org/officeDocument/2006/relationships/hyperlink" Target="http://refhub.elsevier.com/S2666-5441(22)00036-3/sref21" TargetMode="External"/><Relationship Id="rId32" Type="http://schemas.openxmlformats.org/officeDocument/2006/relationships/hyperlink" Target="https://doi.org/10.1109/kcic.2016.7883639" TargetMode="External"/><Relationship Id="rId33" Type="http://schemas.openxmlformats.org/officeDocument/2006/relationships/hyperlink" Target="http://refhub.elsevier.com/S2666-5441(22)00036-3/sref23" TargetMode="External"/><Relationship Id="rId34" Type="http://schemas.openxmlformats.org/officeDocument/2006/relationships/hyperlink" Target="https://doi.org/10.2134/agronj1986.00021962007800060023x" TargetMode="External"/><Relationship Id="rId35" Type="http://schemas.openxmlformats.org/officeDocument/2006/relationships/hyperlink" Target="http://refhub.elsevier.com/S2666-5441(22)00036-3/sref25" TargetMode="External"/><Relationship Id="rId36" Type="http://schemas.openxmlformats.org/officeDocument/2006/relationships/hyperlink" Target="http://refhub.elsevier.com/S2666-5441(22)00036-3/sref26" TargetMode="External"/><Relationship Id="rId37" Type="http://schemas.openxmlformats.org/officeDocument/2006/relationships/hyperlink" Target="http://refhub.elsevier.com/S2666-5441(22)00036-3/sref27" TargetMode="External"/><Relationship Id="rId38" Type="http://schemas.openxmlformats.org/officeDocument/2006/relationships/hyperlink" Target="http://refhub.elsevier.com/S2666-5441(22)00036-3/sref28" TargetMode="External"/><Relationship Id="rId39" Type="http://schemas.openxmlformats.org/officeDocument/2006/relationships/hyperlink" Target="http://refhub.elsevier.com/S2666-5441(22)00036-3/sref29" TargetMode="External"/><Relationship Id="rId40" Type="http://schemas.openxmlformats.org/officeDocument/2006/relationships/hyperlink" Target="http://refhub.elsevier.com/S2666-5441(22)00036-3/sref30" TargetMode="External"/><Relationship Id="rId41" Type="http://schemas.openxmlformats.org/officeDocument/2006/relationships/hyperlink" Target="http://refhub.elsevier.com/S2666-5441(22)00036-3/sref31" TargetMode="External"/><Relationship Id="rId42" Type="http://schemas.openxmlformats.org/officeDocument/2006/relationships/hyperlink" Target="http://refhub.elsevier.com/S2666-5441(22)00036-3/sref32" TargetMode="External"/><Relationship Id="rId43" Type="http://schemas.openxmlformats.org/officeDocument/2006/relationships/hyperlink" Target="http://refhub.elsevier.com/S2666-5441(22)00036-3/sref33" TargetMode="External"/><Relationship Id="rId44" Type="http://schemas.openxmlformats.org/officeDocument/2006/relationships/hyperlink" Target="http://refhub.elsevier.com/S2666-5441(22)00036-3/sref34" TargetMode="External"/><Relationship Id="rId45" Type="http://schemas.openxmlformats.org/officeDocument/2006/relationships/hyperlink" Target="http://refhub.elsevier.com/S2666-5441(22)00036-3/sref35" TargetMode="External"/><Relationship Id="rId46" Type="http://schemas.openxmlformats.org/officeDocument/2006/relationships/hyperlink" Target="https://doi.org/10.1016/S2095-3119(18)61930-6" TargetMode="External"/><Relationship Id="rId47" Type="http://schemas.openxmlformats.org/officeDocument/2006/relationships/hyperlink" Target="http://refhub.elsevier.com/S2666-5441(22)00036-3/sref37" TargetMode="External"/><Relationship Id="rId48" Type="http://schemas.openxmlformats.org/officeDocument/2006/relationships/hyperlink" Target="http://refhub.elsevier.com/S2666-5441(22)00036-3/sref38" TargetMode="External"/><Relationship Id="rId49" Type="http://schemas.openxmlformats.org/officeDocument/2006/relationships/hyperlink" Target="http://refhub.elsevier.com/S2666-5441(22)00036-3/sref39" TargetMode="External"/><Relationship Id="rId50" Type="http://schemas.openxmlformats.org/officeDocument/2006/relationships/hyperlink" Target="http://refhub.elsevier.com/S2666-5441(22)00036-3/sref40" TargetMode="External"/><Relationship Id="rId51" Type="http://schemas.openxmlformats.org/officeDocument/2006/relationships/hyperlink" Target="http://refhub.elsevier.com/S2666-5441(22)00036-3/sref41" TargetMode="External"/><Relationship Id="rId52" Type="http://schemas.openxmlformats.org/officeDocument/2006/relationships/hyperlink" Target="https://doi.org/10.1007/s11053-019-09556-8" TargetMode="External"/><Relationship Id="rId53" Type="http://schemas.openxmlformats.org/officeDocument/2006/relationships/hyperlink" Target="http://refhub.elsevier.com/S2666-5441(22)00036-3/sref43" TargetMode="External"/><Relationship Id="rId54" Type="http://schemas.openxmlformats.org/officeDocument/2006/relationships/hyperlink" Target="http://refhub.elsevier.com/S2666-5441(22)00036-3/sref44" TargetMode="External"/><Relationship Id="rId55" Type="http://schemas.openxmlformats.org/officeDocument/2006/relationships/hyperlink" Target="http://refhub.elsevier.com/S2666-5441(22)00036-3/sref45" TargetMode="External"/><Relationship Id="rId56" Type="http://schemas.openxmlformats.org/officeDocument/2006/relationships/hyperlink" Target="http://refhub.elsevier.com/S2666-5441(22)00036-3/sref46" TargetMode="External"/><Relationship Id="rId57" Type="http://schemas.openxmlformats.org/officeDocument/2006/relationships/hyperlink" Target="http://refhub.elsevier.com/S2666-5441(22)00036-3/sref80" TargetMode="External"/><Relationship Id="rId58" Type="http://schemas.openxmlformats.org/officeDocument/2006/relationships/hyperlink" Target="http://refhub.elsevier.com/S2666-5441(22)00036-3/sref81" TargetMode="External"/><Relationship Id="rId59" Type="http://schemas.openxmlformats.org/officeDocument/2006/relationships/hyperlink" Target="https://doi.org/10.1081/CSS-100102990" TargetMode="External"/><Relationship Id="rId60" Type="http://schemas.openxmlformats.org/officeDocument/2006/relationships/hyperlink" Target="https://doi.org/10.1016/j.micpro.2021.10382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